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Документация, содержащая описание функциональных характеристик экземпляра программного обеспечения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E504B" w:rsidRDefault="00793057" w:rsidP="00782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Москва</w:t>
      </w:r>
      <w:r w:rsidR="000658B4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FE504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 w:type="page"/>
      </w: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  <w:lastRenderedPageBreak/>
        <w:t>Содержание</w:t>
      </w:r>
    </w:p>
    <w:p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</w:p>
    <w:p w:rsidR="003C573F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2xpnm9x5zoo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1 Предназначение ПО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7ep7zxhbxr7i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  Описание функциональных характеристик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:rsidR="003C573F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fuxsqccpbuer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3 Программные и аппаратные требования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4</w:t>
        </w:r>
      </w:hyperlink>
    </w:p>
    <w:p w:rsidR="003C573F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9nne77bsuqky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4 Состав системы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5</w:t>
        </w:r>
      </w:hyperlink>
    </w:p>
    <w:p w:rsidR="003C573F" w:rsidRPr="00782625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s1q4gko3eb1g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 Эксплуатация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:rsidR="003C573F" w:rsidRPr="00782625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l5dbvabgvx9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5.1 Запуск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:rsidR="003C573F" w:rsidRPr="00782625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x5x87cvvpbqe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5.2Управление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:rsidR="003C573F" w:rsidRPr="00782625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2kvj0xbo36g8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5.3 Резервное копирование и восстановление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:rsidR="003C573F" w:rsidRPr="00782625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c23rfs11dej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5.4 Обновление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:rsidR="003C573F" w:rsidRPr="00444E39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06wm69d70nt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5.5 Техническая поддержка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444E3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:rsidR="003C573F" w:rsidRPr="00444E39" w:rsidRDefault="00483692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21s043gw3ecm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5.6 Завершение работы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444E3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:rsidR="003C573F" w:rsidRDefault="003C573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br w:type="page"/>
      </w: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s2xpnm9x5zoo" w:colFirst="0" w:colLast="0"/>
      <w:bookmarkEnd w:id="0"/>
      <w:r w:rsidRPr="00BB29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 Предназначение </w:t>
      </w:r>
      <w:proofErr w:type="gramStart"/>
      <w:r w:rsidRPr="00BB2923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proofErr w:type="gramEnd"/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114FF4" w:rsidP="00114FF4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3</w:t>
      </w:r>
      <w:r w:rsidR="00274C21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распространяемая библиотека </w:t>
      </w:r>
      <w:proofErr w:type="spellStart"/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fdwscoring</w:t>
      </w:r>
      <w:proofErr w:type="spellEnd"/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="00670505" w:rsidRP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Scoring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) является программным обеспечением,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предназначенным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для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оценки кредитоспособности юридических лиц малого и среднего бизнеса и индивидуальных предпринимателей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proofErr w:type="gramEnd"/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Данное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решение </w:t>
      </w:r>
      <w:r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позволяет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проводить многосторонний </w:t>
      </w:r>
      <w:proofErr w:type="spellStart"/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скоринг</w:t>
      </w:r>
      <w:proofErr w:type="spellEnd"/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заемщиков на основе финансовых показателей бухгалтерского учета и данных коммерческой бизнес деятельности.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7ep7zxhbxr7i" w:colFirst="0" w:colLast="0"/>
      <w:bookmarkEnd w:id="1"/>
      <w:r w:rsidRPr="00BB2923">
        <w:rPr>
          <w:rFonts w:ascii="Times New Roman" w:eastAsia="Times New Roman" w:hAnsi="Times New Roman" w:cs="Times New Roman"/>
          <w:b/>
          <w:sz w:val="28"/>
          <w:szCs w:val="28"/>
        </w:rPr>
        <w:t>2 Описание функциональных 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F19D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1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Оценка кредитоспособности юридических лиц и индивидуальных предпринимателей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Библиотека содержит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различные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класс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ы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моделей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которые могут быть использованы для решения широкого круга прикладных задач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Модели используют семантически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разные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данные, включая финансовые показатели заемщика, информацию об арбитражных делах и исполнительных производствах, данные о гос. закупках и прочее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2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Проведение </w:t>
      </w:r>
      <w:proofErr w:type="spellStart"/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скоринга</w:t>
      </w:r>
      <w:proofErr w:type="spellEnd"/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надежности заемщика. Библиотека содержит триплет схожих моделей, каждая из которых позволяет оценить надежность заемщика простой числовой метрикой от 0 до 1. Данные модели инкапсулируют многолетний опыт и 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актуальную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практику принятия решений финансовых аналитиков компании </w:t>
      </w:r>
      <w:proofErr w:type="spellStart"/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="005E089A" w:rsidRP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Функционал </w:t>
      </w:r>
      <w:proofErr w:type="gramStart"/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позволяет</w:t>
      </w:r>
      <w:proofErr w:type="gramEnd"/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получить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score</w:t>
      </w:r>
      <w:r w:rsidR="005E089A" w:rsidRP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 и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тоговое решение о статистически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значимом наличии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или о статистически значимом отсутствии кредитной надежности заемщика.</w:t>
      </w:r>
    </w:p>
    <w:p w:rsidR="003C573F" w:rsidRPr="00970D38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Pr="00AA591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Оценка вероятности дефолта юридического лица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Библиотека содержит модель, которая позволяет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оценивать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вероятность дефолта юридического лица. Данная модель построена на объективных данных по дефолтам юридических лиц. 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Функционал </w:t>
      </w:r>
      <w:proofErr w:type="gramStart"/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позволяет</w:t>
      </w:r>
      <w:proofErr w:type="gramEnd"/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получить оценку вероятности дефолта и статистически значимое решение по дефолту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Последнее подразумевает, что в случае, если оценка вероятности дефолта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выше внутренне установленного порогового значения, то модель в качестве решения выдает потенциально возможный дефолт; в противном случае, решение модели не является статистически значимым.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4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Поиск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 анализ </w:t>
      </w:r>
      <w:proofErr w:type="gramStart"/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риск-факторов</w:t>
      </w:r>
      <w:proofErr w:type="gramEnd"/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заемщика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Библиотека содержит две модели для выявления </w:t>
      </w:r>
      <w:proofErr w:type="gramStart"/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риск-факторов</w:t>
      </w:r>
      <w:proofErr w:type="gramEnd"/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юридических лиц и индивидуальных предпринимателей, соответственно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Функционал ПО позволяет получить список </w:t>
      </w:r>
      <w:proofErr w:type="gramStart"/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обезличенных</w:t>
      </w:r>
      <w:proofErr w:type="gramEnd"/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риск-факторов, которые с точки зрения уровня риска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приблизительно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равноценны.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Также, исходя из </w:t>
      </w:r>
      <w:proofErr w:type="gramStart"/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lastRenderedPageBreak/>
        <w:t>выявленных</w:t>
      </w:r>
      <w:proofErr w:type="gramEnd"/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риск-факторов, модели принимают итоговое решение по заемщику.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5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Оценка лимитов выдаваемых заемщику займов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Библиотека содержит модель,</w:t>
      </w:r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которая отражает актуальную практику финансовых аналитиков </w:t>
      </w:r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компании </w:t>
      </w:r>
      <w:proofErr w:type="spellStart"/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 расчету лимитов займов при работе с компаниями малого и среднего бизнеса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 Функционал модели позволяет рассчитать три значения лимита: мало рисковое значение лимита, значение комфортного лимита и высоко рисковое значение лимита.</w:t>
      </w:r>
      <w:bookmarkStart w:id="2" w:name="_GoBack"/>
      <w:bookmarkEnd w:id="2"/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fuxsqccpbuer" w:colFirst="0" w:colLast="0"/>
      <w:bookmarkEnd w:id="3"/>
      <w:r w:rsidRPr="004B57BB">
        <w:rPr>
          <w:rFonts w:ascii="Times New Roman" w:eastAsia="Times New Roman" w:hAnsi="Times New Roman" w:cs="Times New Roman"/>
          <w:b/>
          <w:sz w:val="28"/>
          <w:szCs w:val="28"/>
        </w:rPr>
        <w:t>3 Программные и аппаратные требования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C1238B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BB292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Программные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Операционная система. </w:t>
      </w:r>
      <w:proofErr w:type="gram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274C21"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распространяемая библиотека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scoring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совместим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операционными системами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Windows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Linux</w:t>
      </w:r>
      <w:proofErr w:type="spellEnd"/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MacOS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proofErr w:type="gramEnd"/>
    </w:p>
    <w:p w:rsidR="003C573F" w:rsidRPr="001C6111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:rsidR="003C573F" w:rsidRDefault="00BB2923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Использование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подразумевает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установку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версии 3.8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C1238B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Система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получения копии и дальнейшего обновления компонентов ПО, необходимо наличие системы контроля версий </w:t>
      </w: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proofErr w:type="spellEnd"/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130BC3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BB292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Аппаратные требования: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7B67F1" w:rsidRP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Аппаратные требования для использования ПО продиктованы аппаратными требованиями установки интерпретатора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P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.8</w:t>
      </w:r>
      <w:r w:rsidRP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:rsid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Pr="007B67F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Процессор.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Любой современный процессор с тактовой частотой не менее 1.0 ГГц. Для улучшения производительности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использова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ние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многоядерн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ого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процессор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тактовой частотой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2.0 ГГц.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Оперативная память. Минимальный объем оперативной памяти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(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RAM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) составляет 2 ГБ. Рекомендованный об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ъем оперативной памяти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4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ГБ.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Хранилище данных.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Объем жесткого диска зависит от ожидаемого объема данных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Для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установки компонентов ПО и 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непосредственного </w:t>
      </w:r>
      <w:proofErr w:type="spellStart"/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скоринга</w:t>
      </w:r>
      <w:proofErr w:type="spellEnd"/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одного заемщика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минимальный требуемый объем своб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одного </w:t>
      </w:r>
      <w:r w:rsidR="00BB292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пространства составляет 200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="00BB292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Б. Для комплексного анализа 1000 </w:t>
      </w:r>
      <w:r w:rsidR="00FE6E4C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lastRenderedPageBreak/>
        <w:t>заемщиков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рекомендуется иметь не менее </w:t>
      </w:r>
      <w:r w:rsidR="00FE6E4C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5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00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</w:t>
      </w:r>
      <w:r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 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свободного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пространства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heading=h.9nne77bsuqky" w:colFirst="0" w:colLast="0"/>
      <w:bookmarkEnd w:id="4"/>
      <w:r w:rsidRPr="00B74BE0">
        <w:rPr>
          <w:rFonts w:ascii="Times New Roman" w:eastAsia="Times New Roman" w:hAnsi="Times New Roman" w:cs="Times New Roman"/>
          <w:b/>
          <w:sz w:val="28"/>
          <w:szCs w:val="28"/>
        </w:rPr>
        <w:t>4 Состав системы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605386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технической инфраструктуры</w:t>
      </w:r>
    </w:p>
    <w:p w:rsidR="003C573F" w:rsidRPr="00E75248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программирования —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.8</w:t>
      </w:r>
    </w:p>
    <w:p w:rsidR="003C573F" w:rsidRPr="00274C21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Используемая платформа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="005F0E2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изолированное виртуальное окружение (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</w:p>
    <w:p w:rsidR="003C573F" w:rsidRPr="00E75248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сторонние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source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распространяемые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pyyaml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joblib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transliterate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pandas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scikit-learn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lightgbm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catboost</w:t>
      </w:r>
      <w:proofErr w:type="spellEnd"/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Pr="00605386" w:rsidRDefault="0079305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структура </w:t>
      </w:r>
      <w:r w:rsidR="009E2B4E"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библиотеки</w:t>
      </w:r>
    </w:p>
    <w:p w:rsidR="00E75248" w:rsidRPr="00E75248" w:rsidRDefault="00E752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B5F34" w:rsidRPr="003B5F34" w:rsidRDefault="00E75248" w:rsidP="00E752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298818" cy="1689187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818" cy="168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F34" w:rsidRPr="003B5F34" w:rsidRDefault="003B5F34" w:rsidP="003B5F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3C573F" w:rsidRDefault="00E752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proofErr w:type="gramEnd"/>
      <w:r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содержащий шаблоны данных по заемщикам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Указанные шаблоны могут быть использованы пользователем для самостоятельной подготовки данных, необходимых для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ensembles</w:t>
      </w:r>
      <w:proofErr w:type="gram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содержащий в себе триплет ансамблевых моделей, функционал которых позволяет проводить оценку надежности заемщика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2BE2" w:rsidRDefault="00605386" w:rsidP="008F2B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limits_model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модель расчета лимитов выдаваемых займов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2BE2" w:rsidRPr="00A82C93" w:rsidRDefault="008F2BE2" w:rsidP="008F2B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portfolio_model</w:t>
      </w:r>
      <w:proofErr w:type="spellEnd"/>
      <w:r w:rsidR="008F2BE2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инкапсулирующий модель оценки вероятности дефолта юридических лиц.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8F2BE2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</w:rPr>
        <w:t>stop_factor_ip_model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Содержит модель поиска и анализа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риск-факторов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индивидуальных предпринимателей.</w:t>
      </w:r>
    </w:p>
    <w:p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386" w:rsidRPr="008F2BE2" w:rsidRDefault="00605386" w:rsidP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stop_factor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модель поиска и анализа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риск-факторов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юридических лиц.</w:t>
      </w:r>
    </w:p>
    <w:p w:rsidR="003C573F" w:rsidRPr="00605386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C323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utils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вспомогательный функционал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lastRenderedPageBreak/>
        <w:t xml:space="preserve">Структура каталога </w:t>
      </w: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data</w:t>
      </w:r>
    </w:p>
    <w:p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605386" w:rsidRDefault="00605386" w:rsidP="006053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003704" cy="147327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04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 содержит шаблоны данных по заемщикам для каждой модели.</w:t>
      </w:r>
    </w:p>
    <w:p w:rsidR="003C573F" w:rsidRPr="00605386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ensembles</w:t>
      </w:r>
    </w:p>
    <w:p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5386" w:rsidRDefault="00605386" w:rsidP="006053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914800" cy="59185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00" cy="591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386" w:rsidRDefault="00605386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Каталоги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autodeny_model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autorequest_model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preapproval_model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инкапсулируют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AutodenyModel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AutorequestModel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PreApprovalModel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соответственно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указанных каталогах находятся модули </w:t>
      </w:r>
      <w:proofErr w:type="spellStart"/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autodeny_model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autorequest_model.py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preapproval_model.py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соответственно, которые содержат в себе классы 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каждый каталог содержит вспомогательный модуль 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features_calculation.py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расчета 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фичей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модуль внутренней настройки и конфигураций 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(для каждой модели указанные пары модулей свои).</w:t>
      </w:r>
    </w:p>
    <w:p w:rsidR="004325EA" w:rsidRDefault="004325EA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Каталог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файлы, используемые при работе с данными и</w:t>
      </w:r>
      <w:r w:rsidR="00782625" w:rsidRP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скоринга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Каталог </w:t>
      </w:r>
      <w:proofErr w:type="spellStart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pretrained_models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из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joblib</w:t>
      </w:r>
      <w:proofErr w:type="spellEnd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предобученных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и вспомогательного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ensemble_model.py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модуля.</w:t>
      </w:r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Верхнеуровневые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модули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feature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tools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processing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utils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используются всеми тремя моделями. Первый модуль содержит функционал расчета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фичей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, второй модуль содержит функционал обработки сырых данных, третий модуль содержит общие конфигурации моделей.</w:t>
      </w:r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7F9F" w:rsidRPr="00605386" w:rsidRDefault="00897F9F" w:rsidP="00897F9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limits_model</w:t>
      </w:r>
      <w:proofErr w:type="spellEnd"/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7F9F" w:rsidRDefault="00897F9F" w:rsidP="00897F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076557" cy="8382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57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каталог состоит из модуля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limits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model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содержит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настраивает и конфигурирует модель.</w:t>
      </w:r>
    </w:p>
    <w:p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7F9F" w:rsidRDefault="00897F9F" w:rsidP="00897F9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portfolio_model</w:t>
      </w:r>
      <w:proofErr w:type="spellEnd"/>
    </w:p>
    <w:p w:rsidR="00897F9F" w:rsidRPr="00897F9F" w:rsidRDefault="00897F9F" w:rsidP="00897F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97F9F" w:rsidRDefault="00897F9F" w:rsidP="00897F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3429176" cy="24956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176" cy="249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7F9F" w:rsidRDefault="002540A1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Каталог </w:t>
      </w:r>
      <w:proofErr w:type="spellStart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pretrained_models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из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joblib</w:t>
      </w:r>
      <w:proofErr w:type="spellEnd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предобученных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и вспомогательного</w:t>
      </w:r>
      <w:r w:rsidRPr="002540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pretrained_models.py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модуля.</w:t>
      </w:r>
      <w:r w:rsidRPr="002540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Модуль </w:t>
      </w:r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box_cox_transformer.py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оригинальную расширенную имплементацию преобразования Бокса-Кокса, применяемого для нормализации 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фичей</w:t>
      </w:r>
      <w:proofErr w:type="spellEnd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модуле </w:t>
      </w:r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portfolio_model.py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находится класс модели </w:t>
      </w:r>
      <w:proofErr w:type="spellStart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PortfolioModel</w:t>
      </w:r>
      <w:proofErr w:type="spellEnd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Модуль 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proofErr w:type="spellEnd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 общие настройки и конфигурацию модели.</w:t>
      </w:r>
    </w:p>
    <w:p w:rsidR="003E2ADC" w:rsidRDefault="003E2ADC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2ADC" w:rsidRPr="00782625" w:rsidRDefault="003E2ADC" w:rsidP="003E2ADC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Структура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каталогов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stop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factor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proofErr w:type="spellStart"/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ip</w:t>
      </w:r>
      <w:proofErr w:type="spellEnd"/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model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stop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factor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ul</w:t>
      </w:r>
      <w:proofErr w:type="spellEnd"/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model</w:t>
      </w:r>
    </w:p>
    <w:p w:rsidR="003E2ADC" w:rsidRPr="00782625" w:rsidRDefault="003E2ADC" w:rsidP="003E2A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E2ADC" w:rsidRDefault="003E2ADC" w:rsidP="003E2A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2946551" cy="116846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6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ADC" w:rsidRDefault="003E2ADC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05386" w:rsidRDefault="003E2ADC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Каталоги имеют схожую структуру и состоят из одноименных модулей </w:t>
      </w:r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stop_factor_model_ip.py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stop_factor_model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proofErr w:type="spellEnd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содержат классы 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StopFactorIPModel</w:t>
      </w:r>
      <w:proofErr w:type="spellEnd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StopFactorULModel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соответвственно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E72B1" w:rsidRDefault="00AE72B1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7FDA" w:rsidRPr="00897F9F" w:rsidRDefault="00F67FDA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Pr="00FC409D" w:rsidRDefault="00793057">
      <w:pPr>
        <w:pStyle w:val="1"/>
        <w:tabs>
          <w:tab w:val="right" w:pos="90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5" w:name="_heading=h.s1q4gko3eb1g" w:colFirst="0" w:colLast="0"/>
      <w:bookmarkEnd w:id="5"/>
      <w:r w:rsidRPr="00F67FDA">
        <w:rPr>
          <w:rFonts w:ascii="Times New Roman" w:eastAsia="Times New Roman" w:hAnsi="Times New Roman" w:cs="Times New Roman"/>
          <w:b/>
          <w:sz w:val="28"/>
          <w:szCs w:val="28"/>
        </w:rPr>
        <w:t>5 Эксплуатация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pl5dbvabgvx9" w:colFirst="0" w:colLast="0"/>
      <w:bookmarkEnd w:id="6"/>
      <w:r w:rsidRPr="0057754E">
        <w:rPr>
          <w:rFonts w:ascii="Times New Roman" w:eastAsia="Times New Roman" w:hAnsi="Times New Roman" w:cs="Times New Roman"/>
          <w:sz w:val="28"/>
          <w:szCs w:val="28"/>
        </w:rPr>
        <w:t>5.1 Запуск системы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запуском системы убедитесь, что все необходимое оборудование находится в рабочем состоянии. Запускайте систему в соответствии с инструкциями, предоставленн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ыми в руководстве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x5x87cvvpbqe" w:colFirst="0" w:colLast="0"/>
      <w:bookmarkEnd w:id="7"/>
      <w:r w:rsidRPr="001722A8">
        <w:rPr>
          <w:rFonts w:ascii="Times New Roman" w:eastAsia="Times New Roman" w:hAnsi="Times New Roman" w:cs="Times New Roman"/>
          <w:sz w:val="28"/>
          <w:szCs w:val="28"/>
        </w:rPr>
        <w:t>5.2 Управление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283BB2" w:rsidRDefault="0057754E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Осуществляйте управление системой 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импортируемой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8CC" w:rsidRPr="00320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распространяемой библиотекой.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эксплуатации системы используйте </w:t>
      </w:r>
      <w:proofErr w:type="spellStart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верхнеуровневый</w:t>
      </w:r>
      <w:proofErr w:type="spell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2A8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B64AD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представленный</w:t>
      </w:r>
      <w:proofErr w:type="gram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руководстве 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по эксплуатации экземпляра ПО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83BB2" w:rsidRP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проведением </w:t>
      </w:r>
      <w:proofErr w:type="spellStart"/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скоринга</w:t>
      </w:r>
      <w:proofErr w:type="spellEnd"/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заемщиков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подготовьте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необходимые данные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указанным в составе системы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шаблона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>м (см. п.4)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>, или получите необходимые данные у Заказчика в рамках дополнительной отдельно оплачиваемой услуги.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F67FDA" w:rsidRPr="00283BB2" w:rsidRDefault="00F67FDA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kvj0xbo36g8" w:colFirst="0" w:colLast="0"/>
      <w:bookmarkEnd w:id="8"/>
      <w:r w:rsidRPr="0057754E">
        <w:rPr>
          <w:rFonts w:ascii="Times New Roman" w:eastAsia="Times New Roman" w:hAnsi="Times New Roman" w:cs="Times New Roman"/>
          <w:sz w:val="28"/>
          <w:szCs w:val="28"/>
        </w:rPr>
        <w:lastRenderedPageBreak/>
        <w:t>5.3 Резервное копирование и восстановление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423B2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ходе эксплуатации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внутренние данные не мутируются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оэтому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резервное копирование системы необязательно. В случае утраты экземпляра ПО, пользователи могут обратиться по каналам тех. поддержки для получения копии </w:t>
      </w:r>
      <w:proofErr w:type="gramStart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Рекомендуется, однако, 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регулярное резервное копирование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пользовательских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полученных</w:t>
      </w:r>
      <w:r w:rsidR="00F67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67FDA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proofErr w:type="gramEnd"/>
      <w:r w:rsidR="00F67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эксплуатации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pc23rfs11dej" w:colFirst="0" w:colLast="0"/>
      <w:bookmarkEnd w:id="9"/>
      <w:r w:rsidRPr="00423B28">
        <w:rPr>
          <w:rFonts w:ascii="Times New Roman" w:eastAsia="Times New Roman" w:hAnsi="Times New Roman" w:cs="Times New Roman"/>
          <w:sz w:val="28"/>
          <w:szCs w:val="28"/>
        </w:rPr>
        <w:t>5.4 Обновление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Следите за выпуском обновлений для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библиотеки</w:t>
      </w:r>
      <w:r w:rsidR="00F67FDA" w:rsidRPr="00F67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67FDA">
        <w:rPr>
          <w:rFonts w:ascii="Times New Roman" w:eastAsia="Times New Roman" w:hAnsi="Times New Roman" w:cs="Times New Roman"/>
          <w:sz w:val="28"/>
          <w:szCs w:val="28"/>
          <w:lang w:val="en-US"/>
        </w:rPr>
        <w:t>fdwscoring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регулярно производите их установку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руководству по установке экземпляра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proofErr w:type="gramStart"/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Осуществляйте техническое обслуживание оборудования 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, чтобы предотвратить возможные сбои и проблемы.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p06wm69d70nt" w:colFirst="0" w:colLast="0"/>
      <w:bookmarkEnd w:id="10"/>
      <w:r w:rsidRPr="00423B28">
        <w:rPr>
          <w:rFonts w:ascii="Times New Roman" w:eastAsia="Times New Roman" w:hAnsi="Times New Roman" w:cs="Times New Roman"/>
          <w:sz w:val="28"/>
          <w:szCs w:val="28"/>
        </w:rPr>
        <w:t>5.5 Техническая поддержка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могут подавать заявки через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электронную</w:t>
      </w:r>
      <w:r w:rsidR="00423B28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необходимо фиксировать основные данные о проблеме, включая описание проблемы, контактные данные пользователя, срочность запроса и другую необходимую информацию.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21s043gw3ecm" w:colFirst="0" w:colLast="0"/>
      <w:bookmarkEnd w:id="11"/>
      <w:r w:rsidRPr="001722A8">
        <w:rPr>
          <w:rFonts w:ascii="Times New Roman" w:eastAsia="Times New Roman" w:hAnsi="Times New Roman" w:cs="Times New Roman"/>
          <w:sz w:val="28"/>
          <w:szCs w:val="28"/>
        </w:rPr>
        <w:t>5.6 Завершение работы</w:t>
      </w:r>
    </w:p>
    <w:p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C573F" w:rsidRPr="00FE504B" w:rsidRDefault="001722A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распространяемую библиотеку, работа с системой завершается 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завершении сессии интерпретатора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="00173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прерывании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ядра интерактивной среды разработки, такой как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Jupyter</w:t>
      </w:r>
      <w:proofErr w:type="spellEnd"/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C573F">
      <w:head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92" w:rsidRDefault="00483692">
      <w:pPr>
        <w:spacing w:line="240" w:lineRule="auto"/>
      </w:pPr>
      <w:r>
        <w:separator/>
      </w:r>
    </w:p>
  </w:endnote>
  <w:endnote w:type="continuationSeparator" w:id="0">
    <w:p w:rsidR="00483692" w:rsidRDefault="0048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92" w:rsidRDefault="00483692">
      <w:pPr>
        <w:spacing w:line="240" w:lineRule="auto"/>
      </w:pPr>
      <w:r>
        <w:separator/>
      </w:r>
    </w:p>
  </w:footnote>
  <w:footnote w:type="continuationSeparator" w:id="0">
    <w:p w:rsidR="00483692" w:rsidRDefault="00483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73F" w:rsidRDefault="003C57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C573F"/>
    <w:rsid w:val="00064D06"/>
    <w:rsid w:val="000658B4"/>
    <w:rsid w:val="00072641"/>
    <w:rsid w:val="000C6FE6"/>
    <w:rsid w:val="00114FF4"/>
    <w:rsid w:val="00130BC3"/>
    <w:rsid w:val="001722A8"/>
    <w:rsid w:val="0017357A"/>
    <w:rsid w:val="001C6111"/>
    <w:rsid w:val="0021435E"/>
    <w:rsid w:val="00222769"/>
    <w:rsid w:val="002540A1"/>
    <w:rsid w:val="00274C21"/>
    <w:rsid w:val="00283BB2"/>
    <w:rsid w:val="002F19D4"/>
    <w:rsid w:val="003208CC"/>
    <w:rsid w:val="00342662"/>
    <w:rsid w:val="003631E1"/>
    <w:rsid w:val="003B5F34"/>
    <w:rsid w:val="003C573F"/>
    <w:rsid w:val="003E2ADC"/>
    <w:rsid w:val="00415F09"/>
    <w:rsid w:val="00423B28"/>
    <w:rsid w:val="004325EA"/>
    <w:rsid w:val="00444E39"/>
    <w:rsid w:val="00483692"/>
    <w:rsid w:val="004B57BB"/>
    <w:rsid w:val="0057754E"/>
    <w:rsid w:val="005E089A"/>
    <w:rsid w:val="005F0E29"/>
    <w:rsid w:val="00605386"/>
    <w:rsid w:val="00634B56"/>
    <w:rsid w:val="00670505"/>
    <w:rsid w:val="00782625"/>
    <w:rsid w:val="00793057"/>
    <w:rsid w:val="007B67F1"/>
    <w:rsid w:val="00810AD9"/>
    <w:rsid w:val="00897F9F"/>
    <w:rsid w:val="008D7372"/>
    <w:rsid w:val="008F2BE2"/>
    <w:rsid w:val="008F7382"/>
    <w:rsid w:val="00964F34"/>
    <w:rsid w:val="00970D38"/>
    <w:rsid w:val="009E2B4E"/>
    <w:rsid w:val="00A82C93"/>
    <w:rsid w:val="00AA5914"/>
    <w:rsid w:val="00AE72B1"/>
    <w:rsid w:val="00B64ADE"/>
    <w:rsid w:val="00B67506"/>
    <w:rsid w:val="00B74BE0"/>
    <w:rsid w:val="00BB2923"/>
    <w:rsid w:val="00C1238B"/>
    <w:rsid w:val="00C32397"/>
    <w:rsid w:val="00C6095F"/>
    <w:rsid w:val="00C91795"/>
    <w:rsid w:val="00E75248"/>
    <w:rsid w:val="00F07C26"/>
    <w:rsid w:val="00F378E0"/>
    <w:rsid w:val="00F53E4A"/>
    <w:rsid w:val="00F67FDA"/>
    <w:rsid w:val="00FA05B3"/>
    <w:rsid w:val="00FC409D"/>
    <w:rsid w:val="00FE504B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D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D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8y6gHY1Mo8VOG02ktNSIN9bZQ==">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1250</TotalTime>
  <Pages>9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27</cp:revision>
  <dcterms:created xsi:type="dcterms:W3CDTF">2021-05-18T09:03:00Z</dcterms:created>
  <dcterms:modified xsi:type="dcterms:W3CDTF">2024-12-23T10:23:00Z</dcterms:modified>
</cp:coreProperties>
</file>